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documentation for the Riparian Zones Land Cover/Land Use (LC/LU) product within the Copernicus Land Monitoring Service (CLMS) Priority Area Monitoring component. It details the product’s purpose – to deliver high-resolution land cover and land use data for riparian areas across the EEA-38 countries and the UK for 2012 and 2018, including change mapping – alongside its technical specifications, methodology, quality assessment, and application areas. The manual serves as a primary resource for users seeking to understand and effectively utilise the Riparian Zones product for environmental monitoring, policy support, and ecosystem service assessment.</dc:description>
  <cp:keywords>Riparian zones, Land cover/Land use classification, Change detection mapping, Very high-resolution imagery, Mapping and Assessment of Ecosystems and their Services (MAES), Strahler stream order, European Catchment and Rivers Network System (ECRINS), European Terrestrial Reference System (ETRS89), INSPIRE metadata standard, Parent Scene Identification Layer (PSIL)</cp:keywords>
  <dcterms:created xsi:type="dcterms:W3CDTF">2025-11-21T12:57:43Z</dcterms:created>
  <dcterms:modified xsi:type="dcterms:W3CDTF">2025-11-21T12:57:43Z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